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VII/4 vom 4. Dezember 2019</w:t>
      </w:r>
    </w:p>
    <w:p>
      <w:r>
        <w:t>Bundesverwaltungsgericht, 2019-12-04, IT</w:t>
      </w:r>
    </w:p>
    <w:p>
      <w:r>
        <w:rPr>
          <w:b/>
        </w:rPr>
        <w:t xml:space="preserve">Quelle: </w:t>
      </w:r>
      <w:r>
        <w:t>https://mcp.opencaselaw.ch/entscheid/bvger_BVGE 2019 VII_4</w:t>
      </w:r>
    </w:p>
    <w:p>
      <w:r>
        <w:t>FR: TAF BVGE 2019 VII/4 du 4 décembre 2019</w:t>
      </w:r>
    </w:p>
    <w:p>
      <w:r>
        <w:t>IT: TAF BVGE 2019 VII/4 del 4 dicembre 2019</w:t>
      </w:r>
    </w:p>
    <w:p>
      <w:pPr>
        <w:pStyle w:val="Heading2"/>
      </w:pPr>
      <w:r>
        <w:t>Regeste</w:t>
      </w:r>
    </w:p>
    <w:p>
      <w:r>
        <w:t>Divieto d'entrata</w:t>
      </w:r>
    </w:p>
    <w:p>
      <w:pPr>
        <w:pStyle w:val="Heading2"/>
      </w:pPr>
      <w:r>
        <w:t>Erwägungen</w:t>
      </w:r>
    </w:p>
    <w:p>
      <w:r>
        <w:rPr>
          <w:b/>
        </w:rPr>
        <w:t>E. 1</w:t>
      </w:r>
    </w:p>
    <w:p>
      <w:r>
        <w:t>Un debito derivante da un reato che non sia stato, almeno in parte, saldato dal debitore, relativizza la lontananza nel tempo del reato, riattualizzando il rischio di recidiva e la minaccia per l'ordine pubblico.</w:t>
      </w:r>
    </w:p>
    <w:p>
      <w:r>
        <w:rPr>
          <w:b/>
        </w:rPr>
        <w:t>E. 2</w:t>
      </w:r>
    </w:p>
    <w:p>
      <w:r>
        <w:t>De par sa nature, une dette de ce type doit être prise en compte lorsqu'il s'agit d'examiner la proportionnalité de la durée d'une interdiction d'entrée. Il 28 dicembre 2010, la Corte delle assise correzionali del Tribunale penale del Cantone Ticino (in seguito: CAC) ha condannato A. (di seguito: il ricorrente), cittadino italiano, ad una pena pecuniaria di fr. 10 800.- nonché al risarcimento del danno alla parte civile, la X. Assicurazioni (fr. 88 535.65 oltre interessi del 5 % dal 28 dicembre 2010), di cui era un impiegato, e ciò per ripetuta truffa, in parte tentata, ripetuta falsità in documenti, ripetuta calunnia e denuncia mendace, reati prodottisi tra il mese di ottobre 2007 e il mese di novembre 2008. La sentenza della CAC è cresciuta in giudicato incontestata. Il 14 novembre 2017, venuta a conoscenza della sentenza della CAC, la Segreteria di Stato della migrazione (SEM) ha spiccato contro il ricorrente un divieto d'entrata per la Svizzera ed il Liechtenstein subito esecutorio e valido fino al 13 novembre 2022 (cinque anni). Il 29 dicembre 2017, il ricorrente ha adito il Tribunale amministrativo federale, chiedendo che il divieto d'entrata sia annullato oppure, alternativamente, che, al suo posto, sia pronunciato un ammonimento o che la sua durata sia ridotta " da 5 anni alla durata della presente procedura e/o al massimo alla durata di 5 mesi ". Il Tribunale amministrativo federale ha parzialmente accolto il ricorso. Dai considerandi: 12.2 Per fissare la durata del divieto d'entrata in conformità con il principio di proporzionalità occorre, in particolare, puntare l'attenzione sulle conseguenze finanziarie della truffa commessa dal ricorrente in Svizzera. Benché i fatti delittuosi risalgano al periodo da ottobre 2007 a novembre 2008, si deve constatare che il danno di fr. 88 535.65 della X. Assicurazioni non solo continua a sussistere, ma che è pure aumentato, superando la soglia di fr. 90 000.- a causa degli interessi di ritardo, dato che il ricorrente, a distanza di più di dieci anni, non ha ancora provveduto a rimborsarlo, nemmeno parzialmente. Questo aspetto della vicenda induce a credere che il ricorrente non sembra essere cosciente del fatto che un debito, soprattutto se di natura delittuosa, è un'obbligazione seria, per non dire una colpa (" Verschulden "), che implica la necessità di emendarsi. Ora, il fatto che il debito non sia stato ancora saldato, neanche in parte, e la disinvoltura di cui il ricorrente fa prova in questo rispetto, relativizzano la lontananza nel tempo della truffa, riattualizzando il rischio di recidiva e, dunque, la minaccia per l'ordine pubblico svizzero. Pertanto, anche sotto questo profilo, una durata del divieto d'entrata prossima o addirittura equivalente al limite superiore dei cinque anni ammissibili è, in linea di massima, proponibile. Ciò posto, è doveroso aggiungere che, diversamente da quanto sembra intendere la SEM, gli altri debiti, di natura non delittuosa, accumulati dal ricorrente in Svizzera, così come risultano dall'estratto del registro cantonale delle esecuzioni a suo carico, non possono essere considerati una minaccia per l'ordine pubblico ai sensi dell'art. 5 par. 1 all. I ALC (RS 0.142.112.681; cfr., per più dettagli, la sentenza del TF 2C_479/2018 del 15 febbraio 2019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